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85" w:rsidRDefault="006151D6" w:rsidP="00D74485">
      <w:pPr>
        <w:spacing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…………………………………………………Fakültesi/Enstitüsü/Yüksekokulu/Meslek Yüksekokulu/Merkezi/Daire </w:t>
      </w:r>
      <w:r w:rsidR="00FC78AF">
        <w:rPr>
          <w:rFonts w:ascii="Times New Roman" w:eastAsia="Times New Roman" w:hAnsi="Times New Roman" w:cs="Times New Roman"/>
          <w:sz w:val="24"/>
          <w:szCs w:val="24"/>
          <w:lang w:eastAsia="tr-TR"/>
        </w:rPr>
        <w:t>Başkanlığı</w:t>
      </w:r>
      <w:r w:rsidR="00373B8C">
        <w:rPr>
          <w:rFonts w:ascii="Times New Roman" w:eastAsia="Times New Roman" w:hAnsi="Times New Roman" w:cs="Times New Roman"/>
          <w:sz w:val="24"/>
          <w:szCs w:val="24"/>
          <w:lang w:eastAsia="tr-TR"/>
        </w:rPr>
        <w:t>/Birimi</w:t>
      </w:r>
      <w:r>
        <w:rPr>
          <w:rFonts w:ascii="Times New Roman" w:eastAsia="Times New Roman" w:hAnsi="Times New Roman" w:cs="Times New Roman"/>
          <w:sz w:val="24"/>
          <w:szCs w:val="24"/>
          <w:lang w:eastAsia="tr-TR"/>
        </w:rPr>
        <w:t xml:space="preserve"> </w:t>
      </w:r>
    </w:p>
    <w:p w:rsidR="006151D6" w:rsidRDefault="006151D6" w:rsidP="006151D6">
      <w:pPr>
        <w:spacing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2025 YILI İLK ALTI AYLIK DÖNEM</w:t>
      </w:r>
      <w:r w:rsidR="00644214">
        <w:rPr>
          <w:rFonts w:ascii="Times New Roman" w:eastAsia="Times New Roman" w:hAnsi="Times New Roman" w:cs="Times New Roman"/>
          <w:b/>
          <w:sz w:val="24"/>
          <w:szCs w:val="24"/>
          <w:lang w:eastAsia="tr-TR"/>
        </w:rPr>
        <w:t>E AİT</w:t>
      </w:r>
    </w:p>
    <w:p w:rsidR="006151D6" w:rsidRDefault="006151D6" w:rsidP="006151D6">
      <w:pPr>
        <w:spacing w:beforeAutospacing="1" w:after="100" w:afterAutospacing="1" w:line="240" w:lineRule="auto"/>
        <w:jc w:val="center"/>
        <w:rPr>
          <w:rFonts w:ascii="Times New Roman" w:eastAsia="Times New Roman" w:hAnsi="Times New Roman" w:cs="Times New Roman"/>
          <w:sz w:val="24"/>
          <w:szCs w:val="24"/>
          <w:lang w:eastAsia="tr-TR"/>
        </w:rPr>
      </w:pPr>
      <w:r w:rsidRPr="006151D6">
        <w:rPr>
          <w:rFonts w:ascii="Times New Roman" w:eastAsia="Times New Roman" w:hAnsi="Times New Roman" w:cs="Times New Roman"/>
          <w:b/>
          <w:sz w:val="24"/>
          <w:szCs w:val="24"/>
          <w:lang w:eastAsia="tr-TR"/>
        </w:rPr>
        <w:t>KALİTE SÜREÇLERİ İZLEME VE DEĞERLENDİRME</w:t>
      </w:r>
      <w:r>
        <w:rPr>
          <w:rFonts w:ascii="Times New Roman" w:eastAsia="Times New Roman" w:hAnsi="Times New Roman" w:cs="Times New Roman"/>
          <w:b/>
          <w:sz w:val="24"/>
          <w:szCs w:val="24"/>
          <w:lang w:eastAsia="tr-TR"/>
        </w:rPr>
        <w:t xml:space="preserve"> RAPOR</w:t>
      </w:r>
      <w:r w:rsidR="00E320C9">
        <w:rPr>
          <w:rFonts w:ascii="Times New Roman" w:eastAsia="Times New Roman" w:hAnsi="Times New Roman" w:cs="Times New Roman"/>
          <w:b/>
          <w:sz w:val="24"/>
          <w:szCs w:val="24"/>
          <w:lang w:eastAsia="tr-TR"/>
        </w:rPr>
        <w:t xml:space="preserve"> FORMATI</w:t>
      </w:r>
      <w:bookmarkStart w:id="0" w:name="_GoBack"/>
      <w:bookmarkEnd w:id="0"/>
      <w:r w:rsidR="002E61A3">
        <w:rPr>
          <w:rFonts w:ascii="Times New Roman" w:eastAsia="Times New Roman" w:hAnsi="Times New Roman" w:cs="Times New Roman"/>
          <w:b/>
          <w:sz w:val="24"/>
          <w:szCs w:val="24"/>
          <w:lang w:eastAsia="tr-TR"/>
        </w:rPr>
        <w:t xml:space="preserve"> </w:t>
      </w:r>
    </w:p>
    <w:p w:rsidR="006151D6" w:rsidRPr="00D74485" w:rsidRDefault="006151D6" w:rsidP="00D74485">
      <w:pPr>
        <w:spacing w:beforeAutospacing="1" w:after="100" w:afterAutospacing="1" w:line="240" w:lineRule="auto"/>
        <w:jc w:val="both"/>
        <w:rPr>
          <w:rFonts w:ascii="Times New Roman" w:eastAsia="Times New Roman" w:hAnsi="Times New Roman" w:cs="Times New Roman"/>
          <w:sz w:val="24"/>
          <w:szCs w:val="24"/>
          <w:lang w:eastAsia="tr-TR"/>
        </w:rPr>
      </w:pPr>
    </w:p>
    <w:tbl>
      <w:tblPr>
        <w:tblStyle w:val="TabloKlavuzu"/>
        <w:tblW w:w="14596" w:type="dxa"/>
        <w:tblLook w:val="04A0" w:firstRow="1" w:lastRow="0" w:firstColumn="1" w:lastColumn="0" w:noHBand="0" w:noVBand="1"/>
      </w:tblPr>
      <w:tblGrid>
        <w:gridCol w:w="4531"/>
        <w:gridCol w:w="10065"/>
      </w:tblGrid>
      <w:tr w:rsidR="00D74485" w:rsidRPr="00D74485" w:rsidTr="00D74485">
        <w:tc>
          <w:tcPr>
            <w:tcW w:w="4531" w:type="dxa"/>
          </w:tcPr>
          <w:p w:rsidR="006151D6" w:rsidRDefault="006151D6" w:rsidP="00D74485">
            <w:pPr>
              <w:spacing w:beforeAutospacing="1" w:after="100" w:afterAutospacing="1"/>
              <w:jc w:val="both"/>
              <w:rPr>
                <w:rFonts w:ascii="Times New Roman" w:eastAsia="Times New Roman" w:hAnsi="Times New Roman" w:cs="Times New Roman"/>
                <w:b/>
                <w:sz w:val="24"/>
                <w:szCs w:val="24"/>
                <w:lang w:eastAsia="tr-TR"/>
              </w:rPr>
            </w:pPr>
          </w:p>
          <w:p w:rsidR="00D74485" w:rsidRPr="00D74485" w:rsidRDefault="006151D6" w:rsidP="00D74485">
            <w:pPr>
              <w:spacing w:beforeAutospacing="1" w:after="100" w:afterAutospacing="1"/>
              <w:jc w:val="both"/>
              <w:rPr>
                <w:rFonts w:ascii="Times New Roman" w:eastAsia="Times New Roman" w:hAnsi="Times New Roman" w:cs="Times New Roman"/>
                <w:b/>
                <w:sz w:val="24"/>
                <w:szCs w:val="24"/>
                <w:lang w:eastAsia="tr-TR"/>
              </w:rPr>
            </w:pPr>
            <w:r w:rsidRPr="006151D6">
              <w:rPr>
                <w:rFonts w:ascii="Times New Roman" w:eastAsia="Times New Roman" w:hAnsi="Times New Roman" w:cs="Times New Roman"/>
                <w:b/>
                <w:sz w:val="24"/>
                <w:szCs w:val="24"/>
                <w:lang w:eastAsia="tr-TR"/>
              </w:rPr>
              <w:t xml:space="preserve">DEĞERLENDİRME KRİTERLERİ </w:t>
            </w:r>
          </w:p>
        </w:tc>
        <w:tc>
          <w:tcPr>
            <w:tcW w:w="10065" w:type="dxa"/>
          </w:tcPr>
          <w:p w:rsidR="006151D6" w:rsidRDefault="006151D6" w:rsidP="00D74485">
            <w:pPr>
              <w:spacing w:beforeAutospacing="1" w:after="100" w:afterAutospacing="1"/>
              <w:jc w:val="both"/>
              <w:rPr>
                <w:rFonts w:ascii="Times New Roman" w:eastAsia="Times New Roman" w:hAnsi="Times New Roman" w:cs="Times New Roman"/>
                <w:b/>
                <w:sz w:val="24"/>
                <w:szCs w:val="24"/>
                <w:lang w:eastAsia="tr-TR"/>
              </w:rPr>
            </w:pPr>
          </w:p>
          <w:p w:rsidR="00D74485" w:rsidRDefault="00917230" w:rsidP="00D74485">
            <w:pPr>
              <w:spacing w:beforeAutospacing="1" w:after="100" w:afterAutospacing="1"/>
              <w:jc w:val="both"/>
              <w:rPr>
                <w:rFonts w:ascii="Times New Roman" w:eastAsia="Times New Roman" w:hAnsi="Times New Roman" w:cs="Times New Roman"/>
                <w:b/>
                <w:sz w:val="24"/>
                <w:szCs w:val="24"/>
                <w:lang w:eastAsia="tr-TR"/>
              </w:rPr>
            </w:pPr>
            <w:r w:rsidRPr="006151D6">
              <w:rPr>
                <w:rFonts w:ascii="Times New Roman" w:eastAsia="Times New Roman" w:hAnsi="Times New Roman" w:cs="Times New Roman"/>
                <w:b/>
                <w:sz w:val="24"/>
                <w:szCs w:val="24"/>
                <w:lang w:eastAsia="tr-TR"/>
              </w:rPr>
              <w:t>DEĞERLENDİRME SONUCU</w:t>
            </w:r>
            <w:r>
              <w:rPr>
                <w:rFonts w:ascii="Times New Roman" w:eastAsia="Times New Roman" w:hAnsi="Times New Roman" w:cs="Times New Roman"/>
                <w:b/>
                <w:sz w:val="24"/>
                <w:szCs w:val="24"/>
                <w:lang w:eastAsia="tr-TR"/>
              </w:rPr>
              <w:t>/AÇIKLAMA</w:t>
            </w:r>
          </w:p>
          <w:p w:rsidR="006151D6" w:rsidRPr="00D74485" w:rsidRDefault="006151D6" w:rsidP="00D74485">
            <w:pPr>
              <w:spacing w:beforeAutospacing="1" w:after="100" w:afterAutospacing="1"/>
              <w:jc w:val="both"/>
              <w:rPr>
                <w:rFonts w:ascii="Times New Roman" w:eastAsia="Times New Roman" w:hAnsi="Times New Roman" w:cs="Times New Roman"/>
                <w:b/>
                <w:sz w:val="24"/>
                <w:szCs w:val="24"/>
                <w:lang w:eastAsia="tr-TR"/>
              </w:rPr>
            </w:pPr>
          </w:p>
        </w:tc>
      </w:tr>
      <w:tr w:rsidR="00D74485" w:rsidRPr="00D74485" w:rsidTr="00D74485">
        <w:tc>
          <w:tcPr>
            <w:tcW w:w="4531" w:type="dxa"/>
          </w:tcPr>
          <w:p w:rsidR="006151D6" w:rsidRDefault="006151D6" w:rsidP="006151D6">
            <w:pPr>
              <w:spacing w:before="100" w:beforeAutospacing="1" w:after="100" w:afterAutospacing="1"/>
              <w:jc w:val="both"/>
              <w:rPr>
                <w:rFonts w:ascii="Times New Roman" w:eastAsia="Times New Roman" w:hAnsi="Times New Roman" w:cs="Times New Roman"/>
                <w:b/>
                <w:bCs/>
                <w:sz w:val="24"/>
                <w:szCs w:val="24"/>
                <w:lang w:eastAsia="tr-TR"/>
              </w:rPr>
            </w:pPr>
          </w:p>
          <w:p w:rsidR="00D74485" w:rsidRPr="00D74485" w:rsidRDefault="00D74485" w:rsidP="00644214">
            <w:pPr>
              <w:spacing w:before="100" w:beforeAutospacing="1" w:after="100" w:afterAutospacing="1"/>
              <w:rPr>
                <w:rFonts w:ascii="Times New Roman" w:eastAsia="Times New Roman" w:hAnsi="Times New Roman" w:cs="Times New Roman"/>
                <w:b/>
                <w:bCs/>
                <w:sz w:val="24"/>
                <w:szCs w:val="24"/>
                <w:lang w:eastAsia="tr-TR"/>
              </w:rPr>
            </w:pPr>
            <w:r w:rsidRPr="00D74485">
              <w:rPr>
                <w:rFonts w:ascii="Times New Roman" w:eastAsia="Times New Roman" w:hAnsi="Times New Roman" w:cs="Times New Roman"/>
                <w:b/>
                <w:bCs/>
                <w:sz w:val="24"/>
                <w:szCs w:val="24"/>
                <w:lang w:eastAsia="tr-TR"/>
              </w:rPr>
              <w:t>1. Birimin 2025 yılı ilk altı aylık performans göstergelerinin değerlendirilmesi</w:t>
            </w:r>
          </w:p>
          <w:p w:rsidR="00D74485" w:rsidRPr="00D74485" w:rsidRDefault="00D74485" w:rsidP="006151D6">
            <w:pPr>
              <w:spacing w:before="100" w:beforeAutospacing="1" w:after="100" w:afterAutospacing="1"/>
              <w:jc w:val="both"/>
              <w:rPr>
                <w:rFonts w:ascii="Times New Roman" w:eastAsia="Times New Roman" w:hAnsi="Times New Roman" w:cs="Times New Roman"/>
                <w:sz w:val="24"/>
                <w:szCs w:val="24"/>
                <w:lang w:eastAsia="tr-TR"/>
              </w:rPr>
            </w:pPr>
            <w:r w:rsidRPr="00D74485">
              <w:rPr>
                <w:rFonts w:ascii="Times New Roman" w:eastAsia="Times New Roman" w:hAnsi="Times New Roman" w:cs="Times New Roman"/>
                <w:b/>
                <w:bCs/>
                <w:sz w:val="24"/>
                <w:szCs w:val="24"/>
                <w:lang w:eastAsia="tr-TR"/>
              </w:rPr>
              <w:t>(</w:t>
            </w:r>
            <w:r w:rsidRPr="00D74485">
              <w:rPr>
                <w:rFonts w:ascii="Times New Roman" w:eastAsia="Times New Roman" w:hAnsi="Times New Roman" w:cs="Times New Roman"/>
                <w:sz w:val="24"/>
                <w:szCs w:val="24"/>
                <w:lang w:eastAsia="tr-TR"/>
              </w:rPr>
              <w:t>Bu bölümde, birimin 2025 yılına ait performans hedeflerine yönelik gerçekleşmeler, varsa sapmalar ve nedenleri ile bu doğrultuda yapılan iyileştirme çalışmaları yer almalıdır. Göstergelere ilişkin iyileştirme süreçlerinde PUKÖ döngüsü açıldıysa kaç adet olduğu, hangi konuda açıldığı ve sonuç durumu belirtilmelidir.)</w:t>
            </w:r>
          </w:p>
          <w:p w:rsidR="00D74485" w:rsidRPr="00D74485" w:rsidRDefault="00D74485" w:rsidP="006151D6">
            <w:pPr>
              <w:spacing w:beforeAutospacing="1" w:after="100" w:afterAutospacing="1"/>
              <w:jc w:val="both"/>
              <w:rPr>
                <w:rFonts w:ascii="Times New Roman" w:eastAsia="Times New Roman" w:hAnsi="Times New Roman" w:cs="Times New Roman"/>
                <w:sz w:val="24"/>
                <w:szCs w:val="24"/>
                <w:lang w:eastAsia="tr-TR"/>
              </w:rPr>
            </w:pPr>
          </w:p>
        </w:tc>
        <w:tc>
          <w:tcPr>
            <w:tcW w:w="10065" w:type="dxa"/>
          </w:tcPr>
          <w:p w:rsidR="006151D6" w:rsidRDefault="006151D6" w:rsidP="006151D6">
            <w:pPr>
              <w:spacing w:beforeAutospacing="1" w:after="100" w:afterAutospacing="1"/>
              <w:jc w:val="both"/>
              <w:rPr>
                <w:rFonts w:ascii="Times New Roman" w:eastAsia="Times New Roman" w:hAnsi="Times New Roman" w:cs="Times New Roman"/>
                <w:sz w:val="24"/>
                <w:szCs w:val="24"/>
                <w:lang w:eastAsia="tr-TR"/>
              </w:rPr>
            </w:pPr>
          </w:p>
          <w:p w:rsidR="006151D6" w:rsidRDefault="006151D6"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Default="00022543" w:rsidP="006151D6">
            <w:pPr>
              <w:spacing w:beforeAutospacing="1" w:after="100" w:afterAutospacing="1"/>
              <w:jc w:val="both"/>
              <w:rPr>
                <w:rFonts w:ascii="Times New Roman" w:eastAsia="Times New Roman" w:hAnsi="Times New Roman" w:cs="Times New Roman"/>
                <w:sz w:val="24"/>
                <w:szCs w:val="24"/>
                <w:lang w:eastAsia="tr-TR"/>
              </w:rPr>
            </w:pPr>
          </w:p>
          <w:p w:rsidR="00022543" w:rsidRPr="00D74485" w:rsidRDefault="00022543" w:rsidP="006151D6">
            <w:pPr>
              <w:spacing w:beforeAutospacing="1" w:after="100" w:afterAutospacing="1"/>
              <w:jc w:val="both"/>
              <w:rPr>
                <w:rFonts w:ascii="Times New Roman" w:eastAsia="Times New Roman" w:hAnsi="Times New Roman" w:cs="Times New Roman"/>
                <w:sz w:val="24"/>
                <w:szCs w:val="24"/>
                <w:lang w:eastAsia="tr-TR"/>
              </w:rPr>
            </w:pPr>
          </w:p>
        </w:tc>
      </w:tr>
      <w:tr w:rsidR="00D74485" w:rsidRPr="00D74485" w:rsidTr="00D74485">
        <w:tc>
          <w:tcPr>
            <w:tcW w:w="4531" w:type="dxa"/>
          </w:tcPr>
          <w:p w:rsidR="006151D6" w:rsidRDefault="006151D6" w:rsidP="00644214">
            <w:pPr>
              <w:spacing w:before="100" w:beforeAutospacing="1" w:after="100" w:afterAutospacing="1"/>
              <w:rPr>
                <w:rFonts w:ascii="Times New Roman" w:eastAsia="Times New Roman" w:hAnsi="Times New Roman" w:cs="Times New Roman"/>
                <w:b/>
                <w:bCs/>
                <w:sz w:val="24"/>
                <w:szCs w:val="24"/>
                <w:lang w:eastAsia="tr-TR"/>
              </w:rPr>
            </w:pPr>
          </w:p>
          <w:p w:rsidR="00D74485" w:rsidRPr="00D74485" w:rsidRDefault="00D74485" w:rsidP="00644214">
            <w:pPr>
              <w:spacing w:before="100" w:beforeAutospacing="1" w:after="100" w:afterAutospacing="1"/>
              <w:rPr>
                <w:rFonts w:ascii="Times New Roman" w:eastAsia="Times New Roman" w:hAnsi="Times New Roman" w:cs="Times New Roman"/>
                <w:b/>
                <w:bCs/>
                <w:sz w:val="24"/>
                <w:szCs w:val="24"/>
                <w:lang w:eastAsia="tr-TR"/>
              </w:rPr>
            </w:pPr>
            <w:r w:rsidRPr="00D74485">
              <w:rPr>
                <w:rFonts w:ascii="Times New Roman" w:eastAsia="Times New Roman" w:hAnsi="Times New Roman" w:cs="Times New Roman"/>
                <w:b/>
                <w:bCs/>
                <w:sz w:val="24"/>
                <w:szCs w:val="24"/>
                <w:lang w:eastAsia="tr-TR"/>
              </w:rPr>
              <w:t>2. 2023-2027 Stratejik Planı doğrultusunda gerçekleştirilen iyileştirme çalışmaları</w:t>
            </w:r>
          </w:p>
          <w:p w:rsidR="00D74485" w:rsidRPr="00D74485" w:rsidRDefault="00D74485" w:rsidP="006151D6">
            <w:pPr>
              <w:spacing w:before="100" w:beforeAutospacing="1" w:after="100" w:afterAutospacing="1"/>
              <w:jc w:val="both"/>
              <w:rPr>
                <w:rFonts w:ascii="Times New Roman" w:eastAsia="Times New Roman" w:hAnsi="Times New Roman" w:cs="Times New Roman"/>
                <w:sz w:val="24"/>
                <w:szCs w:val="24"/>
                <w:lang w:eastAsia="tr-TR"/>
              </w:rPr>
            </w:pPr>
            <w:r w:rsidRPr="00D74485">
              <w:rPr>
                <w:rFonts w:ascii="Times New Roman" w:eastAsia="Times New Roman" w:hAnsi="Times New Roman" w:cs="Times New Roman"/>
                <w:b/>
                <w:bCs/>
                <w:sz w:val="24"/>
                <w:szCs w:val="24"/>
                <w:lang w:eastAsia="tr-TR"/>
              </w:rPr>
              <w:t>(</w:t>
            </w:r>
            <w:r w:rsidRPr="00D74485">
              <w:rPr>
                <w:rFonts w:ascii="Times New Roman" w:eastAsia="Times New Roman" w:hAnsi="Times New Roman" w:cs="Times New Roman"/>
                <w:sz w:val="24"/>
                <w:szCs w:val="24"/>
                <w:lang w:eastAsia="tr-TR"/>
              </w:rPr>
              <w:t xml:space="preserve"> Bu bölümde, birimin üniversitenin stratejik plan hedefleri doğrultusunda gerçekleştirdiği faaliyetler, projeler ve bunların çıktıları yer almalıdır. Hedefle doğrudan ilişkilendirme yapılmalı, süreçlerde PUKÖ döngüsü uygulanmışsa, bu döngülere dair bilgiler süreçte uygulanan PUKÖ döngüleri (varsa) ve elde edilen somut sonuçlar belirtilmelidir.</w:t>
            </w:r>
          </w:p>
          <w:p w:rsidR="00D74485" w:rsidRPr="00D74485" w:rsidRDefault="00D74485" w:rsidP="006151D6">
            <w:pPr>
              <w:spacing w:beforeAutospacing="1" w:after="100" w:afterAutospacing="1"/>
              <w:jc w:val="both"/>
              <w:rPr>
                <w:rFonts w:ascii="Times New Roman" w:eastAsia="Times New Roman" w:hAnsi="Times New Roman" w:cs="Times New Roman"/>
                <w:sz w:val="24"/>
                <w:szCs w:val="24"/>
                <w:lang w:eastAsia="tr-TR"/>
              </w:rPr>
            </w:pPr>
          </w:p>
        </w:tc>
        <w:tc>
          <w:tcPr>
            <w:tcW w:w="10065" w:type="dxa"/>
          </w:tcPr>
          <w:p w:rsidR="00D74485" w:rsidRPr="00D74485" w:rsidRDefault="00D74485" w:rsidP="006151D6">
            <w:pPr>
              <w:spacing w:beforeAutospacing="1" w:after="100" w:afterAutospacing="1"/>
              <w:jc w:val="both"/>
              <w:rPr>
                <w:rFonts w:ascii="Times New Roman" w:eastAsia="Times New Roman" w:hAnsi="Times New Roman" w:cs="Times New Roman"/>
                <w:sz w:val="24"/>
                <w:szCs w:val="24"/>
                <w:lang w:eastAsia="tr-TR"/>
              </w:rPr>
            </w:pPr>
          </w:p>
        </w:tc>
      </w:tr>
      <w:tr w:rsidR="00D74485" w:rsidRPr="00D74485" w:rsidTr="00D74485">
        <w:tc>
          <w:tcPr>
            <w:tcW w:w="4531" w:type="dxa"/>
          </w:tcPr>
          <w:p w:rsidR="006151D6" w:rsidRDefault="006151D6" w:rsidP="006151D6">
            <w:pPr>
              <w:keepNext/>
              <w:keepLines/>
              <w:spacing w:before="40"/>
              <w:jc w:val="both"/>
              <w:outlineLvl w:val="2"/>
              <w:rPr>
                <w:rFonts w:ascii="Times New Roman" w:eastAsia="Times New Roman" w:hAnsi="Times New Roman" w:cs="Times New Roman"/>
                <w:b/>
                <w:bCs/>
                <w:sz w:val="27"/>
                <w:szCs w:val="27"/>
                <w:lang w:eastAsia="tr-TR"/>
              </w:rPr>
            </w:pPr>
          </w:p>
          <w:p w:rsidR="00D74485" w:rsidRPr="00D74485" w:rsidRDefault="00D74485" w:rsidP="006151D6">
            <w:pPr>
              <w:keepNext/>
              <w:keepLines/>
              <w:spacing w:before="40"/>
              <w:jc w:val="both"/>
              <w:outlineLvl w:val="2"/>
              <w:rPr>
                <w:rFonts w:ascii="Times New Roman" w:eastAsia="Times New Roman" w:hAnsi="Times New Roman" w:cs="Times New Roman"/>
                <w:b/>
                <w:bCs/>
                <w:sz w:val="27"/>
                <w:szCs w:val="27"/>
                <w:lang w:eastAsia="tr-TR"/>
              </w:rPr>
            </w:pPr>
            <w:r w:rsidRPr="00D74485">
              <w:rPr>
                <w:rFonts w:ascii="Times New Roman" w:eastAsia="Times New Roman" w:hAnsi="Times New Roman" w:cs="Times New Roman"/>
                <w:b/>
                <w:bCs/>
                <w:sz w:val="27"/>
                <w:szCs w:val="27"/>
                <w:lang w:eastAsia="tr-TR"/>
              </w:rPr>
              <w:t>3.YÖKAK ölçütleri (özellikle 2024 yılı Kurumsal Ak</w:t>
            </w:r>
            <w:r>
              <w:rPr>
                <w:rFonts w:ascii="Times New Roman" w:eastAsia="Times New Roman" w:hAnsi="Times New Roman" w:cs="Times New Roman"/>
                <w:b/>
                <w:bCs/>
                <w:sz w:val="27"/>
                <w:szCs w:val="27"/>
                <w:lang w:eastAsia="tr-TR"/>
              </w:rPr>
              <w:t>reditasyon</w:t>
            </w:r>
            <w:r w:rsidRPr="00D74485">
              <w:rPr>
                <w:rFonts w:ascii="Times New Roman" w:eastAsia="Times New Roman" w:hAnsi="Times New Roman" w:cs="Times New Roman"/>
                <w:b/>
                <w:bCs/>
                <w:sz w:val="27"/>
                <w:szCs w:val="27"/>
                <w:lang w:eastAsia="tr-TR"/>
              </w:rPr>
              <w:t xml:space="preserve"> Raporu (KAR) bulguları doğrultusunda) kapsamında yapılan iyileştirmeler </w:t>
            </w:r>
          </w:p>
          <w:p w:rsidR="006151D6" w:rsidRDefault="006151D6" w:rsidP="006151D6">
            <w:pPr>
              <w:keepNext/>
              <w:keepLines/>
              <w:spacing w:before="40"/>
              <w:jc w:val="both"/>
              <w:outlineLvl w:val="2"/>
              <w:rPr>
                <w:rFonts w:ascii="Times New Roman" w:eastAsia="Times New Roman" w:hAnsi="Times New Roman" w:cs="Times New Roman"/>
                <w:b/>
                <w:bCs/>
                <w:sz w:val="27"/>
                <w:szCs w:val="27"/>
                <w:lang w:eastAsia="tr-TR"/>
              </w:rPr>
            </w:pPr>
          </w:p>
          <w:p w:rsidR="00D74485" w:rsidRPr="00D74485" w:rsidRDefault="00D74485" w:rsidP="006151D6">
            <w:pPr>
              <w:keepNext/>
              <w:keepLines/>
              <w:spacing w:before="40"/>
              <w:jc w:val="both"/>
              <w:outlineLvl w:val="2"/>
              <w:rPr>
                <w:rFonts w:ascii="Times New Roman" w:eastAsia="Times New Roman" w:hAnsi="Times New Roman" w:cs="Times New Roman"/>
                <w:b/>
                <w:bCs/>
                <w:sz w:val="27"/>
                <w:szCs w:val="27"/>
                <w:lang w:eastAsia="tr-TR"/>
              </w:rPr>
            </w:pPr>
            <w:r w:rsidRPr="00D74485">
              <w:rPr>
                <w:rFonts w:ascii="Times New Roman" w:eastAsia="Times New Roman" w:hAnsi="Times New Roman" w:cs="Times New Roman"/>
                <w:b/>
                <w:bCs/>
                <w:sz w:val="27"/>
                <w:szCs w:val="27"/>
                <w:lang w:eastAsia="tr-TR"/>
              </w:rPr>
              <w:t>(</w:t>
            </w:r>
            <w:r w:rsidRPr="00D74485">
              <w:rPr>
                <w:rFonts w:ascii="Times New Roman" w:eastAsia="Times New Roman" w:hAnsi="Times New Roman" w:cs="Times New Roman"/>
                <w:sz w:val="24"/>
                <w:szCs w:val="24"/>
                <w:lang w:eastAsia="tr-TR"/>
              </w:rPr>
              <w:t>Bu bölümde, 2024 yılı Kurumsal Akreditasyon Raporu’nda yer alan bulgulara yönelik olarak birimde yapılan iyileştirme faaliyetleri açıklanmalı,  süreçte uygulanan PUKÖ döngüleri (varsa) ve elde edilen somut sonuçlar belirtilmelidir.)</w:t>
            </w:r>
          </w:p>
          <w:p w:rsidR="00D74485" w:rsidRPr="00D74485" w:rsidRDefault="00D74485" w:rsidP="006151D6">
            <w:pPr>
              <w:spacing w:beforeAutospacing="1" w:after="100" w:afterAutospacing="1"/>
              <w:jc w:val="both"/>
              <w:rPr>
                <w:rFonts w:ascii="Times New Roman" w:eastAsia="Times New Roman" w:hAnsi="Times New Roman" w:cs="Times New Roman"/>
                <w:sz w:val="24"/>
                <w:szCs w:val="24"/>
                <w:lang w:eastAsia="tr-TR"/>
              </w:rPr>
            </w:pPr>
          </w:p>
        </w:tc>
        <w:tc>
          <w:tcPr>
            <w:tcW w:w="10065" w:type="dxa"/>
          </w:tcPr>
          <w:p w:rsidR="00D74485" w:rsidRPr="00D74485" w:rsidRDefault="00D74485" w:rsidP="006151D6">
            <w:pPr>
              <w:spacing w:before="100" w:beforeAutospacing="1" w:after="100" w:afterAutospacing="1"/>
              <w:jc w:val="both"/>
              <w:rPr>
                <w:rFonts w:ascii="Times New Roman" w:eastAsia="Times New Roman" w:hAnsi="Times New Roman" w:cs="Times New Roman"/>
                <w:sz w:val="24"/>
                <w:szCs w:val="24"/>
                <w:lang w:eastAsia="tr-TR"/>
              </w:rPr>
            </w:pPr>
          </w:p>
        </w:tc>
      </w:tr>
    </w:tbl>
    <w:p w:rsidR="009018FA" w:rsidRDefault="009018FA"/>
    <w:sectPr w:rsidR="009018FA" w:rsidSect="00D74485">
      <w:head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15" w:rsidRDefault="00C76415" w:rsidP="00A65C14">
      <w:pPr>
        <w:spacing w:after="0" w:line="240" w:lineRule="auto"/>
      </w:pPr>
      <w:r>
        <w:separator/>
      </w:r>
    </w:p>
  </w:endnote>
  <w:endnote w:type="continuationSeparator" w:id="0">
    <w:p w:rsidR="00C76415" w:rsidRDefault="00C76415" w:rsidP="00A6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15" w:rsidRDefault="00C76415" w:rsidP="00A65C14">
      <w:pPr>
        <w:spacing w:after="0" w:line="240" w:lineRule="auto"/>
      </w:pPr>
      <w:r>
        <w:separator/>
      </w:r>
    </w:p>
  </w:footnote>
  <w:footnote w:type="continuationSeparator" w:id="0">
    <w:p w:rsidR="00C76415" w:rsidRDefault="00C76415" w:rsidP="00A6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C14" w:rsidRDefault="00022543">
    <w:pPr>
      <w:pStyle w:val="stBilgi"/>
    </w:pPr>
    <w:r>
      <w:t>Ek-2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639F8"/>
    <w:multiLevelType w:val="hybridMultilevel"/>
    <w:tmpl w:val="444ED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14356E4"/>
    <w:multiLevelType w:val="multilevel"/>
    <w:tmpl w:val="446E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16A39"/>
    <w:multiLevelType w:val="multilevel"/>
    <w:tmpl w:val="B8A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FE"/>
    <w:rsid w:val="00022543"/>
    <w:rsid w:val="00117930"/>
    <w:rsid w:val="002E61A3"/>
    <w:rsid w:val="00317303"/>
    <w:rsid w:val="00373B8C"/>
    <w:rsid w:val="00404D34"/>
    <w:rsid w:val="004963B5"/>
    <w:rsid w:val="0060600C"/>
    <w:rsid w:val="006151D6"/>
    <w:rsid w:val="00644214"/>
    <w:rsid w:val="00773D44"/>
    <w:rsid w:val="007B0175"/>
    <w:rsid w:val="007F33FE"/>
    <w:rsid w:val="008A1625"/>
    <w:rsid w:val="008C4D1E"/>
    <w:rsid w:val="008E01A8"/>
    <w:rsid w:val="009018FA"/>
    <w:rsid w:val="00917230"/>
    <w:rsid w:val="009F01ED"/>
    <w:rsid w:val="00A65C14"/>
    <w:rsid w:val="00B9149A"/>
    <w:rsid w:val="00C76415"/>
    <w:rsid w:val="00D74485"/>
    <w:rsid w:val="00E320C9"/>
    <w:rsid w:val="00FC7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5525"/>
  <w15:chartTrackingRefBased/>
  <w15:docId w15:val="{3D740DCA-CA90-4864-B5AE-BB808DCE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4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65C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5C14"/>
  </w:style>
  <w:style w:type="paragraph" w:styleId="AltBilgi">
    <w:name w:val="footer"/>
    <w:basedOn w:val="Normal"/>
    <w:link w:val="AltBilgiChar"/>
    <w:uiPriority w:val="99"/>
    <w:unhideWhenUsed/>
    <w:rsid w:val="00A65C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220</Words>
  <Characters>1258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Cumhuriyet</cp:lastModifiedBy>
  <cp:revision>13</cp:revision>
  <dcterms:created xsi:type="dcterms:W3CDTF">2025-09-26T08:21:00Z</dcterms:created>
  <dcterms:modified xsi:type="dcterms:W3CDTF">2025-09-30T13:16:00Z</dcterms:modified>
</cp:coreProperties>
</file>